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This</w:t></w:r><w:r><w:t xml:space="preserve"> </w:t></w:r><w:r><w:t xml:space="preserve">is</w:t></w:r><w:r><w:t xml:space="preserve"> </w:t></w:r><w:r><w:t xml:space="preserve">the</w:t></w:r><w:r><w:t xml:space="preserve"> </w:t></w:r><w:r><w:t xml:space="preserve">title</w:t></w:r><w:r><w:t xml:space="preserve"> </w:t></w:r><w:r><w:t xml:space="preserve">of</w:t></w:r><w:r><w:t xml:space="preserve"> </w:t></w:r><w:r><w:t xml:space="preserve">the</w:t></w:r><w:r><w:t xml:space="preserve"> </w:t></w:r><w:r><w:t xml:space="preserve">thesis</w:t></w:r></w:p><w:p><w:pPr><w:pStyle w:val="Subtitle" /></w:pPr><w:r><w:t xml:space="preserve">This</w:t></w:r><w:r><w:t xml:space="preserve"> </w:t></w:r><w:r><w:t xml:space="preserve">is</w:t></w:r><w:r><w:t xml:space="preserve"> </w:t></w:r><w:r><w:t xml:space="preserve">the</w:t></w:r><w:r><w:t xml:space="preserve"> </w:t></w:r><w:r><w:t xml:space="preserve">subtitle</w:t></w:r><w:r><w:t xml:space="preserve"> </w:t></w:r><w:r><w:t xml:space="preserve">of</w:t></w:r><w:r><w:t xml:space="preserve"> </w:t></w:r><w:r><w:t xml:space="preserve">the</w:t></w:r><w:r><w:t xml:space="preserve"> </w:t></w:r><w:r><w:t xml:space="preserve">thesis</w:t></w:r></w:p><w:p><w:pPr><w:pStyle w:val="Author" /></w:pPr><w:r><w:t xml:space="preserve">Firstname</w:t></w:r><w:r><w:t xml:space="preserve"> </w:t></w:r><w:r><w:t xml:space="preserve">Surname</w:t></w:r></w:p><w:p><w:pPr><w:pStyle w:val="Date" /></w:pPr><w:r><w:t xml:space="preserve">January</w:t></w:r><w:r><w:t xml:space="preserve"> </w:t></w:r><w:r><w:t xml:space="preserve">2015</w:t></w:r></w:p><w:sdt><w:sdtPr><w:docPartObj><w:docPartGallery w:val="Table of Contents" /><w:docPartUnique /></w:docPartObj></w:sdtPr><w:sdtContent><w:p><w:pPr><w:pStyle w:val="TOCHeading" /></w:pPr><w:r><w:t xml:space="preserve">Table of Contents</w:t></w:r></w:p><w:p><w:r><w:fldChar w:fldCharType="begin" w:dirty="true" /><w:instrText xml:space="preserve">TOC \o &quot;1-3&quot; \h \z \u</w:instrText><w:fldChar w:fldCharType="separate" /><w:fldChar w:fldCharType="end" /></w:r></w:p></w:sdtContent></w:sdt><w:p><w:pPr><w:pStyle w:val="FirstParagraph" /></w:pPr><w:r><w:t xml:space="preserve"> </w:t></w:r><w:r><w:t xml:space="preserve"> </w:t></w:r><w:r><w:t xml:space="preserve"> </w:t></w:r><w:r><w:t xml:space="preserve"> </w:t></w:r></w:p><w:bookmarkStart w:id="20" w:name="abstract" /><w:p><w:pPr><w:pStyle w:val="Heading1" /></w:pPr><w:r><w:t xml:space="preserve">Abstract</w:t></w:r></w:p><w:p><w:pPr><w:pStyle w:val="FirstParagraph" /></w:pPr><w:r><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w:r></w:p><w:bookmarkEnd w:id="20" /><w:bookmarkStart w:id="21" w:name="acknowledgements" /><w:p><w:pPr><w:pStyle w:val="Heading1" /></w:pPr><w:r><w:t xml:space="preserve">Acknowledgements</w:t></w:r></w:p><w:p><w:pPr><w:pStyle w:val="FirstParagraph" /></w:pPr><w:r><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w:r></w:p><w:p><w:pPr><w:pStyle w:val="BodyText" /></w:pPr><w:r><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w:r></w:p><w:bookmarkEnd w:id="21" /><w:bookmarkStart w:id="22" w:name="abbreviations" /><w:p><w:pPr><w:pStyle w:val="Heading1" /></w:pPr><w:r><w:t xml:space="preserve">Abbreviations</w:t></w:r></w:p><w:bookmarkEnd w:id="22" /><w:bookmarkStart w:id="38" w:name="la-giustizia-amministrativa-in-italia" /><w:p><w:pPr><w:pStyle w:val="Heading1" /></w:pPr><w:r><w:rPr><w:rStyle w:val="SectionNumber" /></w:rPr><w:t xml:space="preserve">1</w:t></w:r><w:r><w:tab /></w:r><w:r><w:t xml:space="preserve">La giustizia amministrativa in Italia</w:t></w:r></w:p><w:bookmarkStart w:id="30" w:name="Xc878b161c93a8e13a5cb8223ec09f505fae519a" /><w:p><w:pPr><w:pStyle w:val="Heading2" /></w:pPr><w:r><w:rPr><w:rStyle w:val="SectionNumber" /></w:rPr><w:t xml:space="preserve">1.1</w:t></w:r><w:r><w:tab /></w:r><w:r><w:t xml:space="preserve">L’attuazione del giudicato: il giudizio di ottemperanza</w:t></w:r></w:p><w:p><w:pPr><w:pStyle w:val="FirstParagraph" /></w:pPr><w:r><w:t xml:space="preserve">Il giudizio di ottemperanza rappresenta uno strumento di particolare incisività per garantire nei confronti dell’Amministrazione l’attuazione delle decisioni giudiziali, come stabilito all’art. 112 c.p.a. e in risposta ai principi di di effettività ed efficacia della tutela giurisdizionale sanciti dagli artt. 24 e 113 Cost.</w:t></w:r><w:r><w:rPr><w:rStyle w:val="FootnoteReference" /></w:rPr><w:footnoteReference w:id="23" /></w:r><w:r><w:t xml:space="preserve">, nonché dall’art. 47 della Carta dei diritti fondamentali dell’UE e dall’art. 13 della CEDU.</w:t></w:r><w:r><w:t xml:space="preserve"> </w:t></w:r><w:r><w:t xml:space="preserve">In base alla legge di abolizione del contenzioso amministrativo del 1865, dell’atto amministrativo lesivo di un diritto si poteva chiedere la modifica o l’annullamento esclusivamente con ricorso gerarchico all’Autorità amministrativa competente e l’Amministrazione che aveva emesso l’atto aveva semplicemente l’obbligo di conformarsi al giudicato del tribunale civile, ma non esistevano rimedi di coartazione</w:t></w:r><w:r><w:rPr><w:rStyle w:val="FootnoteReference" /></w:rPr><w:footnoteReference w:id="24" /></w:r><w:r><w:t xml:space="preserve">.</w:t></w:r></w:p><w:p><w:pPr><w:pStyle w:val="BodyText" /></w:pPr><w:r><w:t xml:space="preserve">In origine il giudizio di ottemperanza, così come introdotto dalla legge Crispi del 1889, era ammesso solo per le sentenze passate in giudicato dell’Autorità giudiziaria ordinaria, aventi per oggetto diritti civili e politici. E’ a partire dal 1928 che la giurisprudenza inizia ad ampliare il campo di applicazione di tale strumento anche alle decisioni del giudice amministrativo, motivo per cui se l’Amministrazione non ottempera alla decisione della IV sez. del Consiglio di Stato, tale mancanza deve trovare un mezzo di coazione che consiste proprio nel giudizio di ottemperanza, oggi disciplinato all’art. 112 del c.p.a.</w:t></w:r><w:r><w:t xml:space="preserve"> </w:t></w:r><w:r><w:t xml:space="preserve">Mentre nella fase esecutiva della sentenza di condanna del giudice civile che ha per oggetto diritti soggettivi e stabilisce cosa deve fare l’Amministrazione soccombente nello specifico ci si trova di fronte ad una sentenza molto chiara nello stabilire cosa si pretende dal</w:t></w:r><w:r><w:t xml:space="preserve"> </w:t></w:r><w:r><w:t xml:space="preserve">“</w:t></w:r><w:r><w:t xml:space="preserve">debitore</w:t></w:r><w:r><w:t xml:space="preserve">”</w:t></w:r><w:r><w:t xml:space="preserve">, nel caso della sentenza del giudice amministrativo la condotta successiva non è sempre segnata con certezza: il vincolo conformativo ha un’intensità diversa a seconda del vizio accolto e l’Amministrazione può non essere tenuta solo ad un comportamento specifico. Il giudizio di ottemperanza deve ricostruire il significato della cognizione, non è la mera attuazione di un giudicato già preciso e sicuro della fase di cognizione, ma è un giudizio c.d.</w:t></w:r><w:r><w:t xml:space="preserve"> </w:t></w:r><w:r><w:t xml:space="preserve">“</w:t></w:r><w:r><w:t xml:space="preserve">misto</w:t></w:r><w:r><w:t xml:space="preserve">”</w:t></w:r><w:r><w:t xml:space="preserve">, assoggettato al termine di prescrizione ordinario di dieci anni, decorrente dalla data del passaggio in giudicato della sentenza.</w:t></w:r><w:r><w:t xml:space="preserve"> </w:t></w:r><w:r><w:rPr><w:rStyle w:val="FootnoteReference" /></w:rPr><w:footnoteReference w:id="25" /></w:r><w:r><w:t xml:space="preserve"> </w:t></w:r><w:r><w:t xml:space="preserve">Il ricorso per l’ottemperanza va proposto nelle forme ordinarie, quindi notificato all’Amministrazione e a tutte le altre parti del giudizio di merito. Il ricorrente deve depositare una copia autentica della sentenza di cui si chiede l’esecuzione, con l’eventuale prova del passaggio in giudicato.</w:t></w:r><w:r><w:rPr><w:rStyle w:val="FootnoteReference" /></w:rPr><w:footnoteReference w:id="26" /></w:r><w:r><w:t xml:space="preserve">In passato il ricorso doveva essere preceduto dalla notifica all’Amministrazione di una diffida a provvedere, ma oggi il codice, all’art. 114, c. 1, stabilisce che tale adempimento non è più necessario.</w:t></w:r><w:r><w:t xml:space="preserve"> </w:t></w:r><w:r><w:t xml:space="preserve">Il riparto di competenza ha carattere funzionale, ai sensi dell’art. 14, c. 3, c.p.a. Per l’esecuzione della sentenza amministrativa, competente è il giudice che ha pronunciato la sentenza. Nel caso si tratti di sentenza emessa dal Consiglio di Stato, esso può essere competente in unico grado, ma se la sentenza del Tar è stata confermata in appello, la competenza spetta sempre al Tar. Qualora invece si tratti dell’esecuzione della sentenza di un giudice ordinario o di un altro giudice speciale diverso dal giudice amministrativo, la competenza spetta sempre al Tar nella cui circoscrizione ha sede il giudice che ha emesso la sentenza da eseguire.</w:t></w:r><w:r><w:rPr><w:rStyle w:val="FootnoteReference" /></w:rPr><w:footnoteReference w:id="27" /></w:r></w:p><w:p><w:pPr><w:pStyle w:val="BodyText" /></w:pPr><w:r><w:t xml:space="preserve">Per quanto riguarda l’esecuzione delle sentenze del giudice amministrativo, il ricorso per l’ottemperanza è esperibile indipendentemente dal fatto che esse siano passate in giudicato o solamente esecutive e, ai fini del ricorso, non rileva se rispetto a queste sentenze inadempiente sia l’Amministrazione o una parte privata. Nel caso di una sentenza non ancora passata in giudicato, l’esecuzione riguarda una statuizione che non ha ancora carattere di definitività. Con la sentenza n. 5352/2002 il Consiglio di Stato ha sostenuto che l’esecuzione della sentenza non ancora passata in giudicato non dovrebbe mai determinare un assetto</w:t></w:r><w:r><w:t xml:space="preserve"> </w:t></w:r><w:r><w:rPr><w:iCs /><w:i /></w:rPr><w:t xml:space="preserve">“</w:t></w:r><w:r><w:rPr><w:iCs /><w:i /></w:rPr><w:t xml:space="preserve">definito ed immutabile</w:t></w:r><w:r><w:rPr><w:iCs /><w:i /></w:rPr><w:t xml:space="preserve">”</w:t></w:r><w:r><w:t xml:space="preserve">, perché altrimenti verrebbe frustrato l’esito pratico di un eventuale appello contro la sentenza.</w:t></w:r><w:r><w:t xml:space="preserve"> </w:t></w:r><w:r><w:rPr><w:rStyle w:val="FootnoteReference" /></w:rPr><w:footnoteReference w:id="28" /></w:r><w:r><w:t xml:space="preserve">In generale, la stessa giurisprudenza che ha orientato anche la redazione del codice del processo amministrativo equipara la sentenza esecutiva alla sentenza passata in giudicato ai fini dell’ammissibilità del giudizio di ottemperanza, ma precisa che il giudice dell’ottemperanza, se la sentenza non sia passata in giudicato, ne determina le modalità esecutive</w:t></w:r><w:r><w:t xml:space="preserve"> </w:t></w:r><w:r><w:rPr><w:rStyle w:val="FootnoteReference" /></w:rPr><w:footnoteReference w:id="29" /></w:r><w:r><w:t xml:space="preserve">, motivo per cui sembra riconosciuta la necessità che l’esecuzione di tale sentenza non pregiudichi le ragioni di un eventuale appello.</w:t></w:r><w:r><w:t xml:space="preserve"> </w:t></w:r><w:r><w:t xml:space="preserve">In base all’art. 114, c. 2, lett.</w:t></w:r><w:r><w:t xml:space="preserve"> </w:t></w:r><w:r><w:rPr><w:iCs /><w:i /></w:rPr><w:t xml:space="preserve">c</w:t></w:r><w:r><w:t xml:space="preserve"> </w:t></w:r><w:r><w:t xml:space="preserve">ed</w:t></w:r><w:r><w:t xml:space="preserve"> </w:t></w:r><w:r><w:rPr><w:iCs /><w:i /></w:rPr><w:t xml:space="preserve">e</w:t></w:r><w:r><w:t xml:space="preserve">, il ricorso per l’ottemperanza è esperibile anche per l’esecuzione delle sentenze passate in giudicato del giudice ordinario e dei giudici speciali avanti ai quali non sia previsto un giudizio di ottemperanza, nonché per l’esecuzione dei lodi arbitrali esecutivi divenuti inoppugnabili. In questi casi però il giudizio di ottemperanza si caratterizza sul piano soggettivo come strumento di esecuzione specifica nei confronti di un’Amministrazione, in quanto non è ammesso per soggetti diversi.</w:t></w:r></w:p><w:p><w:pPr><w:pStyle w:val="BodyText" /></w:pPr><w:r><w:t xml:space="preserve">L’elemento davvero caratteristico del giudizio di ottemperanza è individuato dall’art. 134, c. 1, lett.</w:t></w:r><w:r><w:t xml:space="preserve"> </w:t></w:r><w:r><w:rPr><w:iCs /><w:i /></w:rPr><w:t xml:space="preserve">a</w:t></w:r><w:r><w:t xml:space="preserve">, c.p.a., laddove si prevede che il giudice amministrativo, nello stesso giudizio, esercita una giurisdizione estesa al merito. Tale previsione comporta che il giudice amministrativo possa sostituirsi, direttamente o attraverso un commissario da esso eventualmente nominato, all’Amministrazione inadempiente. Questa possibilità di sostituzione comporta che nel giudizio di ottemperanza non possa opporsi al giudice alcuna riserva di potere all’Amministrazione, in quanto la necessità di dare esecuzione alla sentenza prevale anche su ogni esigenza di salvaguardia delle prerogative dell’amministrazione.</w:t></w:r></w:p><w:bookmarkEnd w:id="30" /><w:bookmarkStart w:id="33" w:name="modello" /><w:p><w:pPr><w:pStyle w:val="Heading2" /></w:pPr><w:r><w:rPr><w:rStyle w:val="SectionNumber" /></w:rPr><w:t xml:space="preserve">1.2</w:t></w:r><w:r><w:tab /></w:r><w:r><w:t xml:space="preserve">Modello</w:t></w:r></w:p><w:bookmarkStart w:id="31" w:name="in-english" /><w:p><w:pPr><w:pStyle w:val="Heading3" /></w:pPr><w:r><w:rPr><w:rStyle w:val="SectionNumber" /></w:rPr><w:t xml:space="preserve">1.2.1</w:t></w:r><w:r><w:tab /></w:r><w:r><w:t xml:space="preserve">In English</w:t></w:r></w:p><w:p><w:pPr><w:pStyle w:val="FirstParagraph" /></w:pPr><w:r><w:t xml:space="preserve">Template for writing a PhD thesis in Markdown, a super-friendly plain text format. Using Pandoc, the Markdown can be easily converted to popular formats such as LATEX, PDF, MS Word, HTML, etc.</w:t></w:r><w:r><w:t xml:space="preserve"> </w:t></w:r><w:r><w:t xml:space="preserve">(Pollard et al. 2016)</w:t></w:r><w:r><w:t xml:space="preserve">.</w:t></w:r></w:p><w:bookmarkEnd w:id="31" /><w:bookmarkStart w:id="32" w:name="in-italiano" /><w:p><w:pPr><w:pStyle w:val="Heading3" /></w:pPr><w:r><w:rPr><w:rStyle w:val="SectionNumber" /></w:rPr><w:t xml:space="preserve">1.2.2</w:t></w:r><w:r><w:tab /></w:r><w:r><w:t xml:space="preserve">In Italiano</w:t></w:r></w:p><w:p><w:pPr><w:pStyle w:val="FirstParagraph" /></w:pPr><w:r><w:t xml:space="preserve">Modello per scrivere una tesi di dottorato in Markdown, un formato di testo normale super intuitivo. Usando Pandoc, il Markdown può essere facilmente convertito in formati popolari come LATEX, PDF, MS Word, HTML, ecc.</w:t></w:r><w:r><w:t xml:space="preserve"> </w:t></w:r><w:r><w:t xml:space="preserve">(Pollard et al. 2016)</w:t></w:r><w:r><w:t xml:space="preserve">.</w:t></w:r></w:p><w:p><w:pPr><w:pStyle w:val="BodyText" /></w:pPr><w:r><w:t xml:space="preserve">Esempio di citazione:</w:t></w:r><w:r><w:t xml:space="preserve"> </w:t></w:r><w:r><w:t xml:space="preserve">“</w:t></w:r><w:r><w:t xml:space="preserve">La Legge 4/1999, del 13 gennaio, di modifica della LAP, ha introdotto un insieme di misure destinate a rinnovare la regolazione di alcuni tra gli istituti centrali o fondamentali del Diritto Amministrativo spagnolo</w:t></w:r><w:r><w:t xml:space="preserve">”</w:t></w:r><w:r><w:t xml:space="preserve"> </w:t></w:r><w:r><w:t xml:space="preserve">(Salmerón &amp; Seira n.d.)</w:t></w:r><w:r><w:t xml:space="preserve">.</w:t></w:r></w:p><w:bookmarkEnd w:id="32" /><w:bookmarkEnd w:id="33" /><w:bookmarkStart w:id="35" w:name="the-middle-bit" /><w:p><w:pPr><w:pStyle w:val="Heading2" /></w:pPr><w:r><w:rPr><w:rStyle w:val="SectionNumber" /></w:rPr><w:t xml:space="preserve">1.3</w:t></w:r><w:r><w:tab /></w:r><w:r><w:t xml:space="preserve">The middle bit</w:t></w:r></w:p><w:p><w:pPr><w:pStyle w:val="FirstParagraph" /></w:pPr><w:r><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w:r></w:p><w:p><w:pPr><w:pStyle w:val="BodyText" /></w:pPr><w:r><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w:r></w:p><w:p><w:pPr><w:pStyle w:val="BodyText" /></w:pPr><w:r><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w:r></w:p><w:bookmarkStart w:id="34" w:name="subsection-of-the-middle-bit" /><w:p><w:pPr><w:pStyle w:val="Heading3" /></w:pPr><w:r><w:rPr><w:rStyle w:val="SectionNumber" /></w:rPr><w:t xml:space="preserve">1.3.1</w:t></w:r><w:r><w:tab /></w:r><w:r><w:t xml:space="preserve">Subsection of the middle bit</w:t></w:r></w:p><w:p><w:pPr><w:pStyle w:val="FirstParagraph" /></w:pPr><w:r><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w:r></w:p><w:bookmarkEnd w:id="34" /><w:bookmarkEnd w:id="35" /><w:bookmarkStart w:id="37" w:name="summary-of-chapters" /><w:p><w:pPr><w:pStyle w:val="Heading2" /></w:pPr><w:r><w:rPr><w:rStyle w:val="SectionNumber" /></w:rPr><w:t xml:space="preserve">1.4</w:t></w:r><w:r><w:tab /></w:r><w:r><w:t xml:space="preserve">Summary of chapters</w:t></w:r></w:p><w:p><w:pPr><w:pStyle w:val="FirstParagraph" /></w:pPr><w:r><w:t xml:space="preserve">This is a brief outline of what went into each chapter, and a section which shows how to reference headers (which are labelled automatically for you). This chapter, section ??, shows how to use citations and how to reference section headers. Section </w:t></w:r><w:hyperlink w:anchor="literature-review-with-maths"><w:r><w:rPr><w:rStyle w:val="Hyperlink" /></w:rPr><w:t xml:space="preserve">2</w:t></w:r></w:hyperlink><w:r><w:t xml:space="preserve"> </w:t></w:r><w:r><w:t xml:space="preserve">shows how use and reference equations. Section </w:t></w:r><w:hyperlink w:anchor="first-research-study-with-code"><w:r><w:rPr><w:rStyle w:val="Hyperlink" /></w:rPr><w:t xml:space="preserve">3</w:t></w:r></w:hyperlink><w:r><w:t xml:space="preserve"> </w:t></w:r><w:r><w:t xml:space="preserve">shows how to use and reference code. Section </w:t></w:r><w:hyperlink w:anchor="research-containing-a-figure"><w:r><w:rPr><w:rStyle w:val="Hyperlink" /></w:rPr><w:t xml:space="preserve">4</w:t></w:r></w:hyperlink><w:r><w:t xml:space="preserve"> </w:t></w:r><w:r><w:t xml:space="preserve">shows how to use, reference, and resize pdf and jpg figures. Section </w:t></w:r><w:hyperlink w:anchor="research-containing-a-table"><w:r><w:rPr><w:rStyle w:val="Hyperlink" /></w:rPr><w:t xml:space="preserve">5</w:t></w:r></w:hyperlink><w:r><w:t xml:space="preserve"> </w:t></w:r><w:r><w:t xml:space="preserve">shows how to use and reference tables. Section </w:t></w:r><w:hyperlink w:anchor="final-research-study"><w:r><w:rPr><w:rStyle w:val="Hyperlink" /></w:rPr><w:t xml:space="preserve">6</w:t></w:r></w:hyperlink><w:r><w:t xml:space="preserve"> </w:t></w:r><w:r><w:t xml:space="preserve">is truly revolutionary (but shows nothing functional).</w:t></w:r><w:r><w:t xml:space="preserve"> </w:t></w:r><w:hyperlink w:anchor="appendix-1-some-extra-stuff"><w:r><w:rPr><w:rStyle w:val="Hyperlink" /><w:bCs /><w:b /></w:rPr><w:t xml:space="preserve">Appendix 1</w:t></w:r></w:hyperlink><w:r><w:t xml:space="preserve"> </w:t></w:r><w:r><w:t xml:space="preserve">shows how to add chapters which are not numbered, and has to be referenced manually, as does</w:t></w:r><w:r><w:t xml:space="preserve"> </w:t></w:r><w:hyperlink w:anchor="appendix-2-some-more-extra-stuff"><w:r><w:rPr><w:rStyle w:val="Hyperlink" /><w:bCs /><w:b /></w:rPr><w:t xml:space="preserve">Appendix 2</w:t></w:r></w:hyperlink><w:r><w:t xml:space="preserve">. See the base</w:t></w:r><w:r><w:t xml:space="preserve"> </w:t></w:r><w:hyperlink r:id="rId36"><w:r><w:rPr><w:rStyle w:val="VerbatimChar" /></w:rPr><w:t xml:space="preserve">README.md</w:t></w:r></w:hyperlink><w:r><w:t xml:space="preserve"> </w:t></w:r><w:r><w:t xml:space="preserve">for how References are handled - leave</w:t></w:r><w:r><w:t xml:space="preserve"> </w:t></w:r><w:r><w:rPr><w:rStyle w:val="VerbatimChar" /></w:rPr><w:t xml:space="preserve">*_references.md</w:t></w:r><w:r><w:t xml:space="preserve"> </w:t></w:r><w:r><w:t xml:space="preserve">alone, and provide it to</w:t></w:r><w:r><w:t xml:space="preserve"> </w:t></w:r><w:r><w:rPr><w:rStyle w:val="VerbatimChar" /></w:rPr><w:t xml:space="preserve">pandoc</w:t></w:r><w:r><w:t xml:space="preserve"> </w:t></w:r><w:r><w:t xml:space="preserve">last.</w:t></w:r></w:p><w:p><w:pPr><w:pStyle w:val="BodyText" /></w:pPr><w:r><w:t xml:space="preserve">Proin faucibus nibh sit amet augue blandit varius.</w:t></w:r></w:p><w:bookmarkEnd w:id="37" /><w:bookmarkEnd w:id="38" /><w:bookmarkStart w:id="43" w:name="literature-review-with-maths" /><w:p><w:pPr><w:pStyle w:val="Heading1" /></w:pPr><w:r><w:rPr><w:rStyle w:val="SectionNumber" /></w:rPr><w:t xml:space="preserve">2</w:t></w:r><w:r><w:tab /></w:r><w:r><w:t xml:space="preserve">Literature review, with maths</w:t></w:r></w:p><w:bookmarkStart w:id="39" w:name="introduction" /><w:p><w:pPr><w:pStyle w:val="Heading2" /></w:pPr><w:r><w:rPr><w:rStyle w:val="SectionNumber" /></w:rPr><w:t xml:space="preserve">2.1</w:t></w:r><w:r><w:tab /></w:r><w:r><w:t xml:space="preserve">Introduction</w:t></w:r></w:p><w:p><w:pPr><w:pStyle w:val="FirstParagraph" /></w:pPr><w:r><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w:r></w:p><w:bookmarkEnd w:id="39" /><w:bookmarkStart w:id="40" w:name="the-middle" /><w:p><w:pPr><w:pStyle w:val="Heading2" /></w:pPr><w:r><w:rPr><w:rStyle w:val="SectionNumber" /></w:rPr><w:t xml:space="preserve">2.2</w:t></w:r><w:r><w:tab /></w:r><w:r><w:t xml:space="preserve">The middle</w:t></w:r></w:p><w:p><w:pPr><w:pStyle w:val="FirstParagraph" /></w:pPr><w:r><w:t xml:space="preserve">This is the literature review. Nullam quam odio, volutpat ac ornare quis, vestibulum nec nulla. Aenean nec dapibus in mL/min</w:t></w:r><w:r><w:rPr><w:vertAlign w:val="superscript" /></w:rPr><w:t xml:space="preserve">-1</w:t></w:r><w:r><w:t xml:space="preserve">. Mathematical formula can be inserted using Latex and can be automatically numbered:</w:t></w:r></w:p><w:p><w:pPr><w:pStyle w:val="BodyText" /></w:pPr><w:bookmarkStart w:id="0" w:name="eq:my_equation"/><w:r><w:t><m:oMath><m:r><m:t>f</m:t></m:r><m:d><m:dPr><m:begChr m:val="(" /><m:endChr m:val=")" /><m:sepChr m:val="" /><m:grow /></m:dPr><m:e><m:r><m:t>x</m:t></m:r></m:e></m:d><m:r><m:rPr><m:sty m:val="p" /></m:rPr><m:t>=</m:t></m:r><m:r><m:t>a</m:t></m:r><m:sSup><m:e><m:r><m:t>x</m:t></m:r></m:e><m:sup><m:r><m:t>3</m:t></m:r></m:sup></m:sSup><m:r><m:rPr><m:sty m:val="p" /></m:rPr><m:t>+</m:t></m:r><m:r><m:t>b</m:t></m:r><m:sSup><m:e><m:r><m:t>x</m:t></m:r></m:e><m:sup><m:r><m:t>2</m:t></m:r></m:sup></m:sSup><m:r><m:rPr><m:sty m:val="p" /></m:rPr><m:t>+</m:t></m:r><m:r><m:t>c</m:t></m:r><m:r><m:t>x</m:t></m:r><m:r><m:rPr><m:sty m:val="p" /></m:rPr><m:t>+</m:t></m:r><m:r><m:t>d</m:t></m:r><m:r><m:t>  </m:t></m:r><m:d><m:dPr><m:begChr m:val="(" /><m:endChr m:val=")" /><m:sepChr m:val="" /><m:grow /></m:dPr><m:e><m:r><m:t>1</m:t></m:r></m:e></m:d></m:oMath></w:t></w:r><w:bookmarkEnd w:id="0"/><w:r><w:t xml:space="preserve"> </w:t></w:r></w:p><w:p><w:pPr><w:pStyle w:val="BodyText" /></w:pPr><w:r><w:t xml:space="preserve">Nunc eleifend, ex a luctus porttitor, felis ex suscipit tellus, ut sollicitudin sapien purus in libero. Nulla blandit eget urna vel tempus. Praesent fringilla dui sapien, sit amet egestas leo sollicitudin at.</w:t></w:r></w:p><w:p><w:pPr><w:pStyle w:val="BodyText" /></w:pPr><w:r><w:t xml:space="preserve">Later on in the text, you can reference Equation</w:t></w:r><w:r><w:t xml:space="preserve"> </w:t></w:r><w:hyperlink w:anchor="eq:my_equation"><w:r><w:rPr><w:rStyle w:val="Hyperlink" /></w:rPr><w:t xml:space="preserve">1</w:t></w:r></w:hyperlink><w:r><w:t xml:space="preserve"> </w:t></w:r><w:r><w:t xml:space="preserve">and its mind-blowing ramifications. Pellentesque habitant morbi tristique senectus et netus et malesuada fames ac turpis egestas. Sed faucibus pulvinar volutpat. Ut semper fringilla erat non dapibus. Nunc vitae felis eget purus placerat finibus laoreet ut nibh.</w:t></w:r></w:p><w:bookmarkEnd w:id="40" /><w:bookmarkStart w:id="41" w:name="a-complicated-math-equation" /><w:p><w:pPr><w:pStyle w:val="Heading2" /></w:pPr><w:r><w:rPr><w:rStyle w:val="SectionNumber" /></w:rPr><w:t xml:space="preserve">2.3</w:t></w:r><w:r><w:tab /></w:r><w:r><w:t xml:space="preserve">A complicated math equation</w:t></w:r></w:p><w:p><w:pPr><w:pStyle w:val="FirstParagraph" /></w:pPr><w:r><w:t xml:space="preserve">The following raw text in markdown behind Equation</w:t></w:r><w:r><w:t xml:space="preserve"> </w:t></w:r><w:hyperlink w:anchor="eq:my_complicated_equation"><w:r><w:rPr><w:rStyle w:val="Hyperlink" /></w:rPr><w:t xml:space="preserve">2</w:t></w:r></w:hyperlink><w:r><w:t xml:space="preserve"> </w:t></w:r><w:r><w:t xml:space="preserve">shows that you can fall back on</w:t></w:r><w:r><w:t xml:space="preserve"> </w:t></w:r><w:r><w:t xml:space="preserve">if it is more convenient for you. Note that this will only be rendered in</w:t></w:r><w:r><w:t xml:space="preserve"> </w:t></w:r><w:r><w:rPr><w:rStyle w:val="VerbatimChar" /></w:rPr><w:t xml:space="preserve">thesis.pdf</w:t></w:r></w:p><w:p><w:pPr><w:pStyle w:val="BodyText" /></w:pPr><w:bookmarkStart w:id="0" w:name="eq:my_complicated_equation"/><w:r><w:t></w:p><w:p><w:pPr><w:pStyle w:val="BodyText" /></w:pPr><w:r><w:t xml:space="preserve">$$
\begin{aligned}
    \hat{\theta}_g = \argmin_{\theta_g} \Big\{ - &amp;\sum^{N}_{n=1}\Big( 1-\mathbb{1}[f(\pmb x^{(n)})]\Big)\log f\Big(\pmb x^{(n)} \\ 
    &amp;+ g(\pmb x^{(n)};\theta_g)\Big) + \lambda|g(\pmb x^{(n)};\theta_g)|_2 \Big\} \ ,
\end{aligned}
\qquad (2)$$</w:t></w:r></w:p><w:p><w:pPr><w:pStyle w:val="FirstParagraph" /></w:pPr></w:t></w:r><w:bookmarkEnd w:id="0"/></w:p><w:bookmarkEnd w:id="41" /><w:bookmarkStart w:id="42" w:name="conclusion" /><w:p><w:pPr><w:pStyle w:val="Heading2" /></w:pPr><w:r><w:rPr><w:rStyle w:val="SectionNumber" /></w:rPr><w:t xml:space="preserve">2.4</w:t></w:r><w:r><w:tab /></w:r><w:r><w:t xml:space="preserve">Conclusion</w:t></w:r></w:p><w:p><w:pPr><w:pStyle w:val="FirstParagraph" /></w:pPr><w:r><w:t xml:space="preserve">This is the conclusion. Donec pulvinar molestie urna eu faucibus. In tristique ut neque vel eleifend. Morbi ut massa vitae diam gravida iaculis. Pellentesque habitant morbi tristique senectus et netus et malesuada fames ac turpis egestas.</w:t></w:r></w:p><w:p><w:pPr><w:numPr><w:ilvl w:val="0" /><w:numId w:val="1001" /></w:numPr><w:pStyle w:val="Compact" /></w:pPr><w:r><w:t xml:space="preserve">first item in the list</w:t></w:r></w:p><w:p><w:pPr><w:numPr><w:ilvl w:val="0" /><w:numId w:val="1001" /></w:numPr><w:pStyle w:val="Compact" /></w:pPr><w:r><w:t xml:space="preserve">second item in the list</w:t></w:r></w:p><w:p><w:pPr><w:numPr><w:ilvl w:val="0" /><w:numId w:val="1001" /></w:numPr><w:pStyle w:val="Compact" /></w:pPr><w:r><w:t xml:space="preserve">third item in the list</w:t></w:r></w:p><w:bookmarkEnd w:id="42" /><w:bookmarkEnd w:id="43" /><w:bookmarkStart w:id="51" w:name="first-research-study-with-code" /><w:p><w:pPr><w:pStyle w:val="Heading1" /></w:pPr><w:r><w:rPr><w:rStyle w:val="SectionNumber" /></w:rPr><w:t xml:space="preserve">3</w:t></w:r><w:r><w:tab /></w:r><w:r><w:t xml:space="preserve">First research study, with code</w:t></w:r></w:p><w:bookmarkStart w:id="44" w:name="introduction-1" /><w:p><w:pPr><w:pStyle w:val="Heading2" /></w:pPr><w:r><w:rPr><w:rStyle w:val="SectionNumber" /></w:rPr><w:t xml:space="preserve">3.1</w:t></w:r><w:r><w:tab /></w:r><w:r><w:t xml:space="preserve">Introduction</w:t></w:r></w:p><w:p><w:pPr><w:pStyle w:val="FirstParagraph" /></w:pPr><w:r><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w:r></w:p><w:bookmarkEnd w:id="44" /><w:bookmarkStart w:id="47" w:name="method" /><w:p><w:pPr><w:pStyle w:val="Heading2" /></w:pPr><w:r><w:rPr><w:rStyle w:val="SectionNumber" /></w:rPr><w:t xml:space="preserve">3.2</w:t></w:r><w:r><w:tab /></w:r><w:r><w:t xml:space="preserve">Method</w:t></w:r></w:p><w:p><w:pPr><w:pStyle w:val="FirstParagraph" /></w:pPr><w:r><w:t xml:space="preserve">Suspendisse iaculis in lacus ut dignissim. Cras dignissim dictum eleifend. Suspendisse potenti. Suspendisse et nisi suscipit, vestibulum est at, maximus sapien. Sed ut diam tortor.</w:t></w:r></w:p><w:bookmarkStart w:id="45" w:name="subsection-1-with-example-code-block" /><w:p><w:pPr><w:pStyle w:val="Heading3" /></w:pPr><w:r><w:rPr><w:rStyle w:val="SectionNumber" /></w:rPr><w:t xml:space="preserve">3.2.1</w:t></w:r><w:r><w:tab /></w:r><w:r><w:t xml:space="preserve">Subsection 1 with example code block</w:t></w:r></w:p><w:p><w:pPr><w:pStyle w:val="FirstParagraph" /></w:pPr><w:r><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w:r></w:p><w:p><w:pPr><w:pStyle w:val="BodyText" /></w:pPr><w:r><w:t xml:space="preserve">For syntax highlighting in code blocks, add three</w:t></w:r><w:r><w:t xml:space="preserve"> </w:t></w:r><w:r><w:t xml:space="preserve">“</w:t></w:r><w:r><w:t xml:space="preserve">`</w:t></w:r><w:r><w:t xml:space="preserve">”</w:t></w:r><w:r><w:t xml:space="preserve"> </w:t></w:r><w:r><w:t xml:space="preserve">characters before and after a code block:</w:t></w:r></w:p><w:p><w:pPr><w:pStyle w:val="SourceCode" /></w:pPr><w:r><w:rPr><w:rStyle w:val="NormalTok" /></w:rPr><w:t xml:space="preserve">mood </w:t></w:r><w:r><w:rPr><w:rStyle w:val="OperatorTok" /></w:rPr><w:t xml:space="preserve">=</w:t></w:r><w:r><w:rPr><w:rStyle w:val="NormalTok" /></w:rPr><w:t xml:space="preserve"> </w:t></w:r><w:r><w:rPr><w:rStyle w:val="StringTok" /></w:rPr><w:t xml:space="preserve">&#39;happy&#39;</w:t></w:r><w:r><w:br /></w:r><w:r><w:rPr><w:rStyle w:val="ControlFlowTok" /></w:rPr><w:t xml:space="preserve">if</w:t></w:r><w:r><w:rPr><w:rStyle w:val="NormalTok" /></w:rPr><w:t xml:space="preserve"> mood </w:t></w:r><w:r><w:rPr><w:rStyle w:val="OperatorTok" /></w:rPr><w:t xml:space="preserve">==</w:t></w:r><w:r><w:rPr><w:rStyle w:val="NormalTok" /></w:rPr><w:t xml:space="preserve"> </w:t></w:r><w:r><w:rPr><w:rStyle w:val="StringTok" /></w:rPr><w:t xml:space="preserve">&#39;happy&#39;</w:t></w:r><w:r><w:rPr><w:rStyle w:val="NormalTok" /></w:rPr><w:t xml:space="preserve">:</w:t></w:r><w:r><w:br /></w:r><w:r><w:rPr><w:rStyle w:val="NormalTok" /></w:rPr><w:t xml:space="preserve">    </w:t></w:r><w:r><w:rPr><w:rStyle w:val="BuiltInTok" /></w:rPr><w:t xml:space="preserve">print</w:t></w:r><w:r><w:rPr><w:rStyle w:val="NormalTok" /></w:rPr><w:t xml:space="preserve">(</w:t></w:r><w:r><w:rPr><w:rStyle w:val="StringTok" /></w:rPr><w:t xml:space="preserve">&quot;I am a happy robot&quot;</w:t></w:r><w:r><w:rPr><w:rStyle w:val="NormalTok" /></w:rPr><w:t xml:space="preserve">)</w:t></w:r></w:p><w:bookmarkEnd w:id="45" /><w:bookmarkStart w:id="46" w:name="subsection-2" /><w:p><w:pPr><w:pStyle w:val="Heading3" /></w:pPr><w:r><w:rPr><w:rStyle w:val="SectionNumber" /></w:rPr><w:t xml:space="preserve">3.2.2</w:t></w:r><w:r><w:tab /></w:r><w:r><w:t xml:space="preserve">Subsection 2</w:t></w:r></w:p><w:p><w:pPr><w:pStyle w:val="FirstParagraph" /></w:pPr><w:r><w:t xml:space="preserve">By running the code in section </w:t></w:r><w:hyperlink w:anchor="subsection-1-with-example-code-block"><w:r><w:rPr><w:rStyle w:val="Hyperlink" /></w:rPr><w:t xml:space="preserve">3.2.1</w:t></w:r></w:hyperlink><w:r><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w:r></w:p><w:bookmarkEnd w:id="46" /><w:bookmarkEnd w:id="47" /><w:bookmarkStart w:id="48" w:name="results" /><w:p><w:pPr><w:pStyle w:val="Heading2" /></w:pPr><w:r><w:rPr><w:rStyle w:val="SectionNumber" /></w:rPr><w:t xml:space="preserve">3.3</w:t></w:r><w:r><w:tab /></w:r><w:r><w:t xml:space="preserve">Results</w:t></w:r></w:p><w:p><w:pPr><w:pStyle w:val="FirstParagraph" /></w:pPr><w:r><w:t xml:space="preserve">These are the results. Ut accumsan tempus aliquam. Sed massa ex, egestas non libero id, imperdiet scelerisque augue. Duis rutrum ultrices arcu et ultricies. Proin vel elit eu magna mattis vehicula. Sed ex erat, fringilla vel feugiat ut, fringilla non diam.</w:t></w:r></w:p><w:bookmarkEnd w:id="48" /><w:bookmarkStart w:id="49" w:name="discussion" /><w:p><w:pPr><w:pStyle w:val="Heading2" /></w:pPr><w:r><w:rPr><w:rStyle w:val="SectionNumber" /></w:rPr><w:t xml:space="preserve">3.4</w:t></w:r><w:r><w:tab /></w:r><w:r><w:t xml:space="preserve">Discussion</w:t></w:r></w:p><w:p><w:pPr><w:pStyle w:val="FirstParagraph" /></w:pPr><w:r><w:t xml:space="preserve">This is the discussion. Duis ultrices tempor sem vitae convallis. Pellentesque lobortis risus ac nisi varius bibendum. Phasellus volutpat aliquam varius. Mauris vitae neque quis libero volutpat finibus. Nunc diam metus, imperdiet vitae leo sed, varius posuere orci.</w:t></w:r></w:p><w:bookmarkEnd w:id="49" /><w:bookmarkStart w:id="50" w:name="conclusion-1" /><w:p><w:pPr><w:pStyle w:val="Heading2" /></w:pPr><w:r><w:rPr><w:rStyle w:val="SectionNumber" /></w:rPr><w:t xml:space="preserve">3.5</w:t></w:r><w:r><w:tab /></w:r><w:r><w:t xml:space="preserve">Conclusion</w:t></w:r></w:p><w:p><w:pPr><w:pStyle w:val="FirstParagraph" /></w:pPr><w:r><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w:r></w:p><w:bookmarkEnd w:id="50" /><w:bookmarkEnd w:id="51" /><w:bookmarkStart w:id="67" w:name="research-containing-a-figure" /><w:p><w:pPr><w:pStyle w:val="Heading1" /></w:pPr><w:r><w:rPr><w:rStyle w:val="SectionNumber" /></w:rPr><w:t xml:space="preserve">4</w:t></w:r><w:r><w:tab /></w:r><w:r><w:t xml:space="preserve">Research containing a figure</w:t></w:r></w:p><w:bookmarkStart w:id="52" w:name="introduction-2" /><w:p><w:pPr><w:pStyle w:val="Heading2" /></w:pPr><w:r><w:rPr><w:rStyle w:val="SectionNumber" /></w:rPr><w:t xml:space="preserve">4.1</w:t></w:r><w:r><w:tab /></w:r><w:r><w:t xml:space="preserve">Introduction</w:t></w:r></w:p><w:p><w:pPr><w:pStyle w:val="FirstParagraph" /></w:pPr><w:r><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w:r></w:p><w:bookmarkEnd w:id="52" /><w:bookmarkStart w:id="55" w:name="method-1" /><w:p><w:pPr><w:pStyle w:val="Heading2" /></w:pPr><w:r><w:rPr><w:rStyle w:val="SectionNumber" /></w:rPr><w:t xml:space="preserve">4.2</w:t></w:r><w:r><w:tab /></w:r><w:r><w:t xml:space="preserve">Method</w:t></w:r></w:p><w:p><w:pPr><w:pStyle w:val="FirstParagraph" /></w:pPr><w:r><w:t xml:space="preserve">Donec imperdiet, lectus vestibulum sagittis tempus, turpis dolor euismod justo, vel tempus neque libero sit amet tortor. Nam cursus commodo tincidunt.</w:t></w:r></w:p><w:bookmarkStart w:id="53" w:name="subsection-1" /><w:p><w:pPr><w:pStyle w:val="Heading3" /></w:pPr><w:r><w:rPr><w:rStyle w:val="SectionNumber" /></w:rPr><w:t xml:space="preserve">4.2.1</w:t></w:r><w:r><w:tab /></w:r><w:r><w:t xml:space="preserve">Subsection 1</w:t></w:r></w:p><w:p><w:pPr><w:pStyle w:val="FirstParagraph" /></w:pPr><w:r><w:t xml:space="preserve">This is the first part of the methodology. Duis tempor sapien sed tellus ultrices blandit. Sed porta mauris tortor, eu vulputate arcu dapibus ac. Curabitur sodales at felis efficitur sollicitudin. Quisque at neque sollicitudin, mollis arcu vitae, faucibus tellus.</w:t></w:r></w:p><w:bookmarkEnd w:id="53" /><w:bookmarkStart w:id="54" w:name="subsection-2-1" /><w:p><w:pPr><w:pStyle w:val="Heading3" /></w:pPr><w:r><w:rPr><w:rStyle w:val="SectionNumber" /></w:rPr><w:t xml:space="preserve">4.2.2</w:t></w:r><w:r><w:tab /></w:r><w:r><w:t xml:space="preserve">Subsection 2</w:t></w:r></w:p><w:p><w:pPr><w:pStyle w:val="FirstParagraph" /></w:pPr><w:r><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w:r></w:p><w:bookmarkEnd w:id="54" /><w:bookmarkEnd w:id="55" /><w:bookmarkStart w:id="56" w:name="results-1" /><w:p><w:pPr><w:pStyle w:val="Heading2" /></w:pPr><w:r><w:rPr><w:rStyle w:val="SectionNumber" /></w:rPr><w:t xml:space="preserve">4.3</w:t></w:r><w:r><w:tab /></w:r><w:r><w:t xml:space="preserve">Results</w:t></w:r></w:p><w:p><w:pPr><w:pStyle w:val="FirstParagraph" /></w:pPr><w:r><w:t xml:space="preserve">These are the results. In vitae odio at libero elementum fermentum vel iaculis enim. Nullam finibus sapien in congue condimentum. Curabitur et ligula et ipsum mollis fringilla.</w:t></w:r></w:p><w:bookmarkEnd w:id="56" /><w:bookmarkStart w:id="61" w:name="discussion-1" /><w:p><w:pPr><w:pStyle w:val="Heading2" /></w:pPr><w:r><w:rPr><w:rStyle w:val="SectionNumber" /></w:rPr><w:t xml:space="preserve">4.4</w:t></w:r><w:r><w:tab /></w:r><w:r><w:t xml:space="preserve">Discussion</w:t></w:r></w:p><w:p><w:pPr><w:pStyle w:val="FirstParagraph" /></w:pPr><w:r><w:t xml:space="preserve">Fig.</w:t></w:r><w:r><w:t xml:space="preserve"> </w:t></w:r><w:hyperlink w:anchor="fig:my_fig"><w:r><w:rPr><w:rStyle w:val="Hyperlink" /></w:rPr><w:t xml:space="preserve">1</w:t></w:r></w:hyperlink><w:r><w:t xml:space="preserve"> </w:t></w:r><w:r><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w:r></w:p><w:bookmarkStart w:id="0" w:name="fig:my_fig"/><w:p><w:pPr><w:pStyle w:val="CaptionedFigure" /></w:pPr><w:bookmarkStart w:id="60" w:name="fig:my_fig" /><w:r><w:drawing><wp:inline><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58" name="Picture" /><a:graphic><a:graphicData uri="http://schemas.openxmlformats.org/drawingml/2006/picture"><pic:pic><pic:nvPicPr><pic:cNvPr descr="source/figures/example_figure.pdf" id="59" name="Picture" /><pic:cNvPicPr><a:picLocks noChangeArrowheads="1" noChangeAspect="1" /></pic:cNvPicPr></pic:nvPicPr><pic:blipFill><a:blip r:embed="rId57" /><a:stretch><a:fillRect /></a:stretch></pic:blipFill><pic:spPr bwMode="auto"><a:xfrm><a:off x="0" y="0" /><a:ext cx="5334000" cy="6705600" /></a:xfrm><a:prstGeom prst="rect"><a:avLst /></a:prstGeom><a:noFill /><a:ln w="9525"><a:noFill /><a:headEnd /><a:tailEnd /></a:ln></pic:spPr></pic:pic></a:graphicData></a:graphic></wp:inline></w:drawing></w:r><w:bookmarkEnd w:id="60" /></w:p><w:p><w:pPr><w:pStyle w:val="ImageCaption" /></w:pPr><w:r><w:t xml:space="preserve">Figure 1: RV Calypso is a former British Royal Navy minesweeper converted into a research vessel for the oceanographic researcher Jacques-Yves Cousteau. It was equipped with a mobile laboratory for underwater field research.</w:t></w:r></w:p><w:bookmarkEnd w:id="0"/><w:bookmarkEnd w:id="61" /><w:bookmarkStart w:id="66" w:name="conclusion-2" /><w:p><w:pPr><w:pStyle w:val="Heading2" /></w:pPr><w:r><w:rPr><w:rStyle w:val="SectionNumber" /></w:rPr><w:t xml:space="preserve">4.5</w:t></w:r><w:r><w:tab /></w:r><w:r><w:t xml:space="preserve">Conclusion</w:t></w:r></w:p><w:p><w:pPr><w:pStyle w:val="FirstParagraph" /></w:pPr><w:r><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w:r></w:p><w:bookmarkStart w:id="0" w:name="fig:other_fig"/><w:p><w:pPr><w:pStyle w:val="CaptionedFigure" /></w:pPr><w:bookmarkStart w:id="65" w:name="fig:other_fig" /><w:r><w:drawing><wp:inline><wp:extent cx="5334000" cy="5273174" /><wp:effectExtent b="0" l="0" r="0" t="0" /><wp:docPr descr="Figure 2: This is not a boat" title="" id="63" name="Picture" /><a:graphic><a:graphicData uri="http://schemas.openxmlformats.org/drawingml/2006/picture"><pic:pic><pic:nvPicPr><pic:cNvPr descr="source/figures/full_caption_example.jpg" id="64" name="Picture" /><pic:cNvPicPr><a:picLocks noChangeArrowheads="1" noChangeAspect="1" /></pic:cNvPicPr></pic:nvPicPr><pic:blipFill><a:blip r:embed="rId62" /><a:stretch><a:fillRect /></a:stretch></pic:blipFill><pic:spPr bwMode="auto"><a:xfrm><a:off x="0" y="0" /><a:ext cx="5334000" cy="5273174" /></a:xfrm><a:prstGeom prst="rect"><a:avLst /></a:prstGeom><a:noFill /><a:ln w="9525"><a:noFill /><a:headEnd /><a:tailEnd /></a:ln></pic:spPr></pic:pic></a:graphicData></a:graphic></wp:inline></w:drawing></w:r><w:bookmarkEnd w:id="65" /></w:p><w:p><w:pPr><w:pStyle w:val="ImageCaption" /></w:pPr><w:r><w:t xml:space="preserve">Figure 2: This is not a boat</w:t></w:r></w:p><w:bookmarkEnd w:id="0"/><w:bookmarkEnd w:id="66" /><w:bookmarkEnd w:id="67" /><w:bookmarkStart w:id="76" w:name="research-containing-a-table" /><w:p><w:pPr><w:pStyle w:val="Heading1" /></w:pPr><w:r><w:rPr><w:rStyle w:val="SectionNumber" /></w:rPr><w:t xml:space="preserve">5</w:t></w:r><w:r><w:tab /></w:r><w:r><w:t xml:space="preserve">Research containing a table</w:t></w:r></w:p><w:bookmarkStart w:id="68" w:name="introduction-3" /><w:p><w:pPr><w:pStyle w:val="Heading2" /></w:pPr><w:r><w:rPr><w:rStyle w:val="SectionNumber" /></w:rPr><w:t xml:space="preserve">5.1</w:t></w:r><w:r><w:tab /></w:r><w:r><w:t xml:space="preserve">Introduction</w:t></w:r></w:p><w:p><w:pPr><w:pStyle w:val="FirstParagraph" /></w:pPr><w:r><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w:r></w:p><w:bookmarkEnd w:id="68" /><w:bookmarkStart w:id="71" w:name="method-2" /><w:p><w:pPr><w:pStyle w:val="Heading2" /></w:pPr><w:r><w:rPr><w:rStyle w:val="SectionNumber" /></w:rPr><w:t xml:space="preserve">5.2</w:t></w:r><w:r><w:tab /></w:r><w:r><w:t xml:space="preserve">Method</w:t></w:r></w:p><w:p><w:pPr><w:pStyle w:val="FirstParagraph" /></w:pPr><w:r><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w:r></w:p><w:bookmarkStart w:id="69" w:name="subsection-1-1" /><w:p><w:pPr><w:pStyle w:val="Heading3" /></w:pPr><w:r><w:rPr><w:rStyle w:val="SectionNumber" /></w:rPr><w:t xml:space="preserve">5.2.1</w:t></w:r><w:r><w:tab /></w:r><w:r><w:t xml:space="preserve">Subsection 1</w:t></w:r></w:p><w:p><w:pPr><w:pStyle w:val="FirstParagraph" /></w:pPr><w:r><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w:r></w:p><w:bookmarkEnd w:id="69" /><w:bookmarkStart w:id="70" w:name="subsection-2-2" /><w:p><w:pPr><w:pStyle w:val="Heading3" /></w:pPr><w:r><w:rPr><w:rStyle w:val="SectionNumber" /></w:rPr><w:t xml:space="preserve">5.2.2</w:t></w:r><w:r><w:tab /></w:r><w:r><w:t xml:space="preserve">Subsection 2</w:t></w:r></w:p><w:p><w:pPr><w:pStyle w:val="FirstParagraph" /></w:pPr><w:r><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w:r></w:p><w:bookmarkEnd w:id="70" /><w:bookmarkEnd w:id="71" /><w:bookmarkStart w:id="73" w:name="results-2" /><w:p><w:pPr><w:pStyle w:val="Heading2" /></w:pPr><w:r><w:rPr><w:rStyle w:val="SectionNumber" /></w:rPr><w:t xml:space="preserve">5.3</w:t></w:r><w:r><w:tab /></w:r><w:r><w:t xml:space="preserve">Results</w:t></w:r></w:p><w:p><w:pPr><w:pStyle w:val="FirstParagraph" /></w:pPr><w:r><w:t xml:space="preserve">Table</w:t></w:r><w:r><w:t xml:space="preserve"> </w:t></w:r><w:hyperlink w:anchor="tbl:random"><w:r><w:rPr><w:rStyle w:val="Hyperlink" /></w:rPr><w:t xml:space="preserve">1</w:t></w:r></w:hyperlink><w:r><w:t xml:space="preserve"> </w:t></w:r><w:r><w:t xml:space="preserve">shows us how to add a table. Integer tincidunt sed nisl eget pellentesque. Mauris eleifend, nisl non lobortis fringilla, sapien eros aliquet orci, vitae pretium massa neque eu turpis. Pellentesque tincidunt aliquet volutpat. Ut ornare dui id ex sodales laoreet.</w:t></w:r></w:p><w:bookmarkStart w:id="0" w:name="tbl:random"/><w:bookmarkStart w:id="72" w:name="tbl:random" /><w:p><w:pPr><w:pStyle w:val="TableCaption" /></w:pPr><w:r><w:t xml:space="preserve">Table 1: Important data for various land masses.</w:t></w:r><w:r><w:t xml:space="preserve"> </w:t></w:r></w:p><w:tbl><w:tblPr><w:tblStyle w:val="Table" /><w:tblW w:type="pct" w:w="5000" /><w:tblLook w:firstRow="1" w:lastRow="0" w:firstColumn="0" w:lastColumn="0" w:noHBand="0" w:noVBand="0" w:val="0020" /><w:tblCaption w:val="Table 1: Important data for various land masses. " /></w:tblPr><w:tblGrid><w:gridCol w:w="1211" /><w:gridCol w:w="745" /><w:gridCol w:w="931" /><w:gridCol w:w="1397" /><w:gridCol w:w="1211" /><w:gridCol w:w="1211" /><w:gridCol w:w="1211" /></w:tblGrid><w:tr><w:trPr><w:tblHeader w:val="true" /></w:trPr><w:tc><w:tcPr /><w:p><w:pPr><w:pStyle w:val="Compact" /><w:jc w:val="left" /></w:pPr><w:r><w:t xml:space="preserve">Landmass</w:t></w:r></w:p></w:tc><w:tc><w:tcPr /><w:p><w:pPr><w:pStyle w:val="Compact" /><w:jc w:val="center" /></w:pPr><w:r><w:t xml:space="preserve">%</w:t></w:r><w:r><w:t xml:space="preserve"> </w:t></w:r><w:r><w:t xml:space="preserve">stuff</w:t></w:r></w:p></w:tc><w:tc><w:tcPr /><w:p><w:pPr><w:pStyle w:val="Compact" /><w:jc w:val="center" /></w:pPr><w:r><w:t xml:space="preserve">Number of</w:t></w:r><w:r><w:t xml:space="preserve"> </w:t></w:r><w:r><w:t xml:space="preserve">Owls</w:t></w:r></w:p></w:tc><w:tc><w:tcPr /><w:p><w:pPr><w:pStyle w:val="Compact" /><w:jc w:val="center" /></w:pPr><w:r><w:t xml:space="preserve">Dolphins per</w:t></w:r><w:r><w:t xml:space="preserve"> </w:t></w:r><w:r><w:t xml:space="preserve">Capita</w:t></w:r></w:p></w:tc><w:tc><w:tcPr /><w:p><w:pPr><w:pStyle w:val="Compact" /><w:jc w:val="center" /></w:pPr><w:r><w:t xml:space="preserve">How Many</w:t></w:r><w:r><w:t xml:space="preserve"> </w:t></w:r><w:r><w:t xml:space="preserve">Foos</w:t></w:r></w:p></w:tc><w:tc><w:tcPr /><w:p><w:pPr><w:pStyle w:val="Compact" /><w:jc w:val="center" /></w:pPr><w:r><w:t xml:space="preserve">How Many</w:t></w:r><w:r><w:t xml:space="preserve"> </w:t></w:r><w:r><w:t xml:space="preserve">Bars</w:t></w:r></w:p></w:tc><w:tc><w:tcPr /><w:p><w:pPr><w:pStyle w:val="Compact" /><w:jc w:val="center" /></w:pPr><w:r><w:t xml:space="preserve">Forbidden</w:t></w:r><w:r><w:t xml:space="preserve"> </w:t></w:r><w:r><w:t xml:space="preserve">Float</w:t></w:r></w:p></w:tc></w:tr><w:tr><w:tc><w:tcPr /><w:p><w:pPr><w:pStyle w:val="Compact" /><w:jc w:val="left" /></w:pPr><w:r><w:t xml:space="preserve">North</w:t></w:r><w:r><w:t xml:space="preserve"> </w:t></w:r><w:r><w:t xml:space="preserve">America</w:t></w:r></w:p></w:tc><w:tc><w:tcPr /><w:p><w:pPr><w:pStyle w:val="Compact" /><w:jc w:val="center" /></w:pPr><w:r><w:t xml:space="preserve">94%</w:t></w:r></w:p></w:tc><w:tc><w:tcPr /><w:p><w:pPr><w:pStyle w:val="Compact" /><w:jc w:val="center" /></w:pPr><w:r><w:t xml:space="preserve">20,028</w:t></w:r></w:p></w:tc><w:tc><w:tcPr /><w:p><w:pPr><w:pStyle w:val="Compact" /><w:jc w:val="center" /></w:pPr><w:r><w:t xml:space="preserve">17,465</w:t></w:r></w:p></w:tc><w:tc><w:tcPr /><w:p><w:pPr><w:pStyle w:val="Compact" /><w:jc w:val="center" /></w:pPr><w:r><w:t xml:space="preserve">12,084</w:t></w:r></w:p></w:tc><w:tc><w:tcPr /><w:p><w:pPr><w:pStyle w:val="Compact" /><w:jc w:val="center" /></w:pPr><w:r><w:t xml:space="preserve">20,659</w:t></w:r></w:p></w:tc><w:tc><w:tcPr /><w:p><w:pPr><w:pStyle w:val="Compact" /><w:jc w:val="center" /></w:pPr><w:r><w:t xml:space="preserve">1.71</w:t></w:r></w:p></w:tc></w:tr><w:tr><w:tc><w:tcPr /><w:p><w:pPr><w:pStyle w:val="Compact" /><w:jc w:val="left" /></w:pPr><w:r><w:t xml:space="preserve">Central</w:t></w:r><w:r><w:t xml:space="preserve"> </w:t></w:r><w:r><w:t xml:space="preserve">America</w:t></w:r></w:p></w:tc><w:tc><w:tcPr /><w:p><w:pPr><w:pStyle w:val="Compact" /><w:jc w:val="center" /></w:pPr><w:r><w:t xml:space="preserve">91%</w:t></w:r></w:p></w:tc><w:tc><w:tcPr /><w:p><w:pPr><w:pStyle w:val="Compact" /><w:jc w:val="center" /></w:pPr><w:r><w:t xml:space="preserve">6564</w:t></w:r></w:p></w:tc><w:tc><w:tcPr /><w:p><w:pPr><w:pStyle w:val="Compact" /><w:jc w:val="center" /></w:pPr><w:r><w:t xml:space="preserve">6350</w:t></w:r></w:p></w:tc><w:tc><w:tcPr /><w:p><w:pPr><w:pStyle w:val="Compact" /><w:jc w:val="center" /></w:pPr><w:r><w:t xml:space="preserve">8,189</w:t></w:r></w:p></w:tc><w:tc><w:tcPr /><w:p><w:pPr><w:pStyle w:val="Compact" /><w:jc w:val="center" /></w:pPr><w:r><w:t xml:space="preserve">12,012</w:t></w:r></w:p></w:tc><w:tc><w:tcPr /><w:p><w:pPr><w:pStyle w:val="Compact" /><w:jc w:val="center" /></w:pPr><w:r><w:t xml:space="preserve">1.52</w:t></w:r></w:p></w:tc></w:tr><w:tr><w:tc><w:tcPr /><w:p><w:pPr><w:pStyle w:val="Compact" /><w:jc w:val="left" /></w:pPr><w:r><w:t xml:space="preserve">South</w:t></w:r><w:r><w:t xml:space="preserve"> </w:t></w:r><w:r><w:t xml:space="preserve">America</w:t></w:r></w:p></w:tc><w:tc><w:tcPr /><w:p><w:pPr><w:pStyle w:val="Compact" /><w:jc w:val="center" /></w:pPr><w:r><w:t xml:space="preserve">86%</w:t></w:r></w:p></w:tc><w:tc><w:tcPr /><w:p><w:pPr><w:pStyle w:val="Compact" /><w:jc w:val="center" /></w:pPr><w:r><w:t xml:space="preserve">3902</w:t></w:r></w:p></w:tc><w:tc><w:tcPr /><w:p><w:pPr><w:pStyle w:val="Compact" /><w:jc w:val="center" /></w:pPr><w:r><w:t xml:space="preserve">4127</w:t></w:r></w:p></w:tc><w:tc><w:tcPr /><w:p><w:pPr><w:pStyle w:val="Compact" /><w:jc w:val="center" /></w:pPr><w:r><w:t xml:space="preserve">5,205</w:t></w:r></w:p></w:tc><w:tc><w:tcPr /><w:p><w:pPr><w:pStyle w:val="Compact" /><w:jc w:val="center" /></w:pPr><w:r><w:t xml:space="preserve">6,565</w:t></w:r></w:p></w:tc><w:tc><w:tcPr /><w:p><w:pPr><w:pStyle w:val="Compact" /><w:jc w:val="center" /></w:pPr><w:r><w:t xml:space="preserve">1.28</w:t></w:r></w:p></w:tc></w:tr><w:tr><w:tc><w:tcPr /><w:p><w:pPr><w:pStyle w:val="Compact" /><w:jc w:val="left" /></w:pPr><w:r><w:t xml:space="preserve">Africa</w:t></w:r></w:p></w:tc><w:tc><w:tcPr /><w:p><w:pPr><w:pStyle w:val="Compact" /><w:jc w:val="center" /></w:pPr><w:r><w:t xml:space="preserve">84%</w:t></w:r></w:p></w:tc><w:tc><w:tcPr /><w:p><w:pPr><w:pStyle w:val="Compact" /><w:jc w:val="center" /></w:pPr><w:r><w:t xml:space="preserve">2892</w:t></w:r></w:p></w:tc><w:tc><w:tcPr /><w:p><w:pPr><w:pStyle w:val="Compact" /><w:jc w:val="center" /></w:pPr><w:r><w:t xml:space="preserve">3175</w:t></w:r></w:p></w:tc><w:tc><w:tcPr /><w:p><w:pPr><w:pStyle w:val="Compact" /><w:jc w:val="center" /></w:pPr><w:r><w:t xml:space="preserve">3,862</w:t></w:r></w:p></w:tc><w:tc><w:tcPr /><w:p><w:pPr><w:pStyle w:val="Compact" /><w:jc w:val="center" /></w:pPr><w:r><w:t xml:space="preserve">4,248</w:t></w:r></w:p></w:tc><w:tc><w:tcPr /><w:p><w:pPr><w:pStyle w:val="Compact" /><w:jc w:val="center" /></w:pPr><w:r><w:t xml:space="preserve">1.1</w:t></w:r></w:p></w:tc></w:tr><w:tr><w:tc><w:tcPr /><w:p><w:pPr><w:pStyle w:val="Compact" /><w:jc w:val="left" /></w:pPr><w:r><w:t xml:space="preserve">Europe</w:t></w:r></w:p></w:tc><w:tc><w:tcPr /><w:p><w:pPr><w:pStyle w:val="Compact" /><w:jc w:val="center" /></w:pPr><w:r><w:t xml:space="preserve">92%</w:t></w:r></w:p></w:tc><w:tc><w:tcPr /><w:p><w:pPr><w:pStyle w:val="Compact" /><w:jc w:val="center" /></w:pPr><w:r><w:t xml:space="preserve">20,964</w:t></w:r></w:p></w:tc><w:tc><w:tcPr /><w:p><w:pPr><w:pStyle w:val="Compact" /><w:jc w:val="center" /></w:pPr><w:r><w:t xml:space="preserve">17,465</w:t></w:r></w:p></w:tc><w:tc><w:tcPr /><w:p><w:pPr><w:pStyle w:val="Compact" /><w:jc w:val="center" /></w:pPr><w:r><w:t xml:space="preserve">15,303</w:t></w:r></w:p></w:tc><w:tc><w:tcPr /><w:p><w:pPr><w:pStyle w:val="Compact" /><w:jc w:val="center" /></w:pPr><w:r><w:t xml:space="preserve">24,203</w:t></w:r></w:p></w:tc><w:tc><w:tcPr /><w:p><w:pPr><w:pStyle w:val="Compact" /><w:jc w:val="center" /></w:pPr><w:r><w:t xml:space="preserve">1.58</w:t></w:r></w:p></w:tc></w:tr><w:tr><w:tc><w:tcPr /><w:p><w:pPr><w:pStyle w:val="Compact" /><w:jc w:val="left" /></w:pPr><w:r><w:t xml:space="preserve">Asia</w:t></w:r></w:p></w:tc><w:tc><w:tcPr /><w:p><w:pPr><w:pStyle w:val="Compact" /><w:jc w:val="center" /></w:pPr><w:r><w:t xml:space="preserve">87%</w:t></w:r></w:p></w:tc><w:tc><w:tcPr /><w:p><w:pPr><w:pStyle w:val="Compact" /><w:jc w:val="center" /></w:pPr><w:r><w:t xml:space="preserve">6852</w:t></w:r></w:p></w:tc><w:tc><w:tcPr /><w:p><w:pPr><w:pStyle w:val="Compact" /><w:jc w:val="center" /></w:pPr><w:r><w:t xml:space="preserve">6350</w:t></w:r></w:p></w:tc><w:tc><w:tcPr /><w:p><w:pPr><w:pStyle w:val="Compact" /><w:jc w:val="center" /></w:pPr><w:r><w:t xml:space="preserve">8,255</w:t></w:r></w:p></w:tc><w:tc><w:tcPr /><w:p><w:pPr><w:pStyle w:val="Compact" /><w:jc w:val="center" /></w:pPr><w:r><w:t xml:space="preserve">11,688</w:t></w:r></w:p></w:tc><w:tc><w:tcPr /><w:p><w:pPr><w:pStyle w:val="Compact" /><w:jc w:val="center" /></w:pPr><w:r><w:t xml:space="preserve">1.47</w:t></w:r></w:p></w:tc></w:tr><w:tr><w:tc><w:tcPr /><w:p><w:pPr><w:pStyle w:val="Compact" /><w:jc w:val="left" /></w:pPr><w:r><w:t xml:space="preserve">Oceania</w:t></w:r></w:p></w:tc><w:tc><w:tcPr /><w:p><w:pPr><w:pStyle w:val="Compact" /><w:jc w:val="center" /></w:pPr><w:r><w:t xml:space="preserve">87%</w:t></w:r></w:p></w:tc><w:tc><w:tcPr /><w:p><w:pPr><w:pStyle w:val="Compact" /><w:jc w:val="center" /></w:pPr><w:r><w:t xml:space="preserve">4044</w:t></w:r></w:p></w:tc><w:tc><w:tcPr /><w:p><w:pPr><w:pStyle w:val="Compact" /><w:jc w:val="center" /></w:pPr><w:r><w:t xml:space="preserve">4127</w:t></w:r></w:p></w:tc><w:tc><w:tcPr /><w:p><w:pPr><w:pStyle w:val="Compact" /><w:jc w:val="center" /></w:pPr><w:r><w:t xml:space="preserve">5,540</w:t></w:r></w:p></w:tc><w:tc><w:tcPr /><w:p><w:pPr><w:pStyle w:val="Compact" /><w:jc w:val="center" /></w:pPr><w:r><w:t xml:space="preserve">6,972</w:t></w:r></w:p></w:tc><w:tc><w:tcPr /><w:p><w:pPr><w:pStyle w:val="Compact" /><w:jc w:val="center" /></w:pPr><w:r><w:t xml:space="preserve">1.28</w:t></w:r></w:p></w:tc></w:tr><w:tr><w:tc><w:tcPr /><w:p><w:pPr><w:pStyle w:val="Compact" /><w:jc w:val="left" /></w:pPr><w:r><w:t xml:space="preserve">Antarctica</w:t></w:r></w:p></w:tc><w:tc><w:tcPr /><w:p><w:pPr><w:pStyle w:val="Compact" /><w:jc w:val="center" /></w:pPr><w:r><w:t xml:space="preserve">83%</w:t></w:r></w:p></w:tc><w:tc><w:tcPr /><w:p><w:pPr><w:pStyle w:val="Compact" /><w:jc w:val="center" /></w:pPr><w:r><w:t xml:space="preserve">2964</w:t></w:r></w:p></w:tc><w:tc><w:tcPr /><w:p><w:pPr><w:pStyle w:val="Compact" /><w:jc w:val="center" /></w:pPr><w:r><w:t xml:space="preserve">3175</w:t></w:r></w:p></w:tc><w:tc><w:tcPr /><w:p><w:pPr><w:pStyle w:val="Compact" /><w:jc w:val="center" /></w:pPr><w:r><w:t xml:space="preserve">4,402</w:t></w:r></w:p></w:tc><w:tc><w:tcPr /><w:p><w:pPr><w:pStyle w:val="Compact" /><w:jc w:val="center" /></w:pPr><w:r><w:t xml:space="preserve">4,941</w:t></w:r></w:p></w:tc><w:tc><w:tcPr /><w:p><w:pPr><w:pStyle w:val="Compact" /><w:jc w:val="center" /></w:pPr><w:r><w:t xml:space="preserve">1.13</w:t></w:r></w:p></w:tc></w:tr></w:tbl><w:bookmarkEnd w:id="72" /><w:bookmarkEnd w:id="0"/><w:bookmarkEnd w:id="73" /><w:bookmarkStart w:id="74" w:name="discussion-2" /><w:p><w:pPr><w:pStyle w:val="Heading2" /></w:pPr><w:r><w:rPr><w:rStyle w:val="SectionNumber" /></w:rPr><w:t xml:space="preserve">5.4</w:t></w:r><w:r><w:tab /></w:r><w:r><w:t xml:space="preserve">Discussion</w:t></w:r></w:p><w:p><w:pPr><w:pStyle w:val="FirstParagraph" /></w:pPr><w:r><w:t xml:space="preserve">This is the discussion. As we saw in Table</w:t></w:r><w:r><w:t xml:space="preserve"> </w:t></w:r><w:hyperlink w:anchor="tbl:random"><w:r><w:rPr><w:rStyle w:val="Hyperlink" /></w:rPr><w:t xml:space="preserve">1</w:t></w:r></w:hyperlink><w:r><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w:r></w:p><w:bookmarkEnd w:id="74" /><w:bookmarkStart w:id="75" w:name="conclusion-3" /><w:p><w:pPr><w:pStyle w:val="Heading2" /></w:pPr><w:r><w:rPr><w:rStyle w:val="SectionNumber" /></w:rPr><w:t xml:space="preserve">5.5</w:t></w:r><w:r><w:tab /></w:r><w:r><w:t xml:space="preserve">Conclusion</w:t></w:r></w:p><w:p><w:pPr><w:pStyle w:val="FirstParagraph" /></w:pPr><w:r><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w:r></w:p><w:bookmarkEnd w:id="75" /><w:bookmarkEnd w:id="76" /><w:bookmarkStart w:id="84" w:name="final-research-study" /><w:p><w:pPr><w:pStyle w:val="Heading1" /></w:pPr><w:r><w:rPr><w:rStyle w:val="SectionNumber" /></w:rPr><w:t xml:space="preserve">6</w:t></w:r><w:r><w:tab /></w:r><w:r><w:t xml:space="preserve">Final research study</w:t></w:r></w:p><w:bookmarkStart w:id="77" w:name="introduction-4" /><w:p><w:pPr><w:pStyle w:val="Heading2" /></w:pPr><w:r><w:rPr><w:rStyle w:val="SectionNumber" /></w:rPr><w:t xml:space="preserve">6.1</w:t></w:r><w:r><w:tab /></w:r><w:r><w:t xml:space="preserve">Introduction</w:t></w:r></w:p><w:p><w:pPr><w:pStyle w:val="FirstParagraph" /></w:pPr><w:r><w:t xml:space="preserve">This is the introduction. Nunc lorem odio, laoreet eu turpis at, condimentum sagittis diam. Phasellus metus ligula, auctor ac nunc vel, molestie mattis libero. Praesent id posuere ex, vel efficitur nibh. Quisque vestibulum accumsan lacus vitae mattis.</w:t></w:r></w:p><w:bookmarkEnd w:id="77" /><w:bookmarkStart w:id="80" w:name="method-3" /><w:p><w:pPr><w:pStyle w:val="Heading2" /></w:pPr><w:r><w:rPr><w:rStyle w:val="SectionNumber" /></w:rPr><w:t xml:space="preserve">6.2</w:t></w:r><w:r><w:tab /></w:r><w:r><w:t xml:space="preserve">Method</w:t></w:r></w:p><w:p><w:pPr><w:pStyle w:val="FirstParagraph" /></w:pPr><w:r><w:t xml:space="preserve">In tincidunt viverra dolor, ac pharetra tellus faucibus eget. Pellentesque tempor a enim nec venenatis. Morbi blandit magna imperdiet posuere auctor. Maecenas in maximus est.</w:t></w:r></w:p><w:bookmarkStart w:id="78" w:name="subsection-1-2" /><w:p><w:pPr><w:pStyle w:val="Heading3" /></w:pPr><w:r><w:rPr><w:rStyle w:val="SectionNumber" /></w:rPr><w:t xml:space="preserve">6.2.1</w:t></w:r><w:r><w:tab /></w:r><w:r><w:t xml:space="preserve">Subsection 1</w:t></w:r></w:p><w:p><w:pPr><w:pStyle w:val="FirstParagraph" /></w:pPr><w:r><w:t xml:space="preserve">This is the first part of the methodology. Praesent mollis sem diam, sit amet tristique lacus vulputate quis. Vivamus rhoncus est rhoncus tellus lacinia, a interdum sem egestas. Curabitur quis urna vel quam blandit semper vitae a leo. Nam vel lectus lectus.</w:t></w:r></w:p><w:bookmarkEnd w:id="78" /><w:bookmarkStart w:id="79" w:name="subsection-2-3" /><w:p><w:pPr><w:pStyle w:val="Heading3" /></w:pPr><w:r><w:rPr><w:rStyle w:val="SectionNumber" /></w:rPr><w:t xml:space="preserve">6.2.2</w:t></w:r><w:r><w:tab /></w:r><w:r><w:t xml:space="preserve">Subsection 2</w:t></w:r></w:p><w:p><w:pPr><w:pStyle w:val="FirstParagraph" /></w:pPr><w:r><w:t xml:space="preserve">This is the second part of the methodology. Aenean vel pretium tortor. Aliquam erat volutpat. Quisque quis lobortis mi. Nulla turpis leo, ultrices nec nulla non, ullamcorper laoreet risus.</w:t></w:r></w:p><w:bookmarkEnd w:id="79" /><w:bookmarkEnd w:id="80" /><w:bookmarkStart w:id="81" w:name="results-3" /><w:p><w:pPr><w:pStyle w:val="Heading2" /></w:pPr><w:r><w:rPr><w:rStyle w:val="SectionNumber" /></w:rPr><w:t xml:space="preserve">6.3</w:t></w:r><w:r><w:tab /></w:r><w:r><w:t xml:space="preserve">Results</w:t></w:r></w:p><w:p><w:pPr><w:pStyle w:val="FirstParagraph" /></w:pPr><w:r><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w:r></w:p><w:bookmarkEnd w:id="81" /><w:bookmarkStart w:id="82" w:name="discussion-3" /><w:p><w:pPr><w:pStyle w:val="Heading2" /></w:pPr><w:r><w:rPr><w:rStyle w:val="SectionNumber" /></w:rPr><w:t xml:space="preserve">6.4</w:t></w:r><w:r><w:tab /></w:r><w:r><w:t xml:space="preserve">Discussion</w:t></w:r></w:p><w:p><w:pPr><w:pStyle w:val="FirstParagraph" /></w:pPr><w:r><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w:r></w:p><w:bookmarkEnd w:id="82" /><w:bookmarkStart w:id="83" w:name="conclusion-4" /><w:p><w:pPr><w:pStyle w:val="Heading2" /></w:pPr><w:r><w:rPr><w:rStyle w:val="SectionNumber" /></w:rPr><w:t xml:space="preserve">6.5</w:t></w:r><w:r><w:tab /></w:r><w:r><w:t xml:space="preserve">Conclusion</w:t></w:r></w:p><w:p><w:pPr><w:pStyle w:val="FirstParagraph" /></w:pPr><w:r><w:t xml:space="preserve">This is the conclusion to the chapter. Nulla sed condimentum lectus. Duis sed tempor erat, at cursus lacus. Nam vitae tempus arcu, id vestibulum sapien. Cum sociis natoque penatibus et magnis dis parturient montes, nascetur ridiculus mus.</w:t></w:r></w:p><w:bookmarkEnd w:id="83" /><w:bookmarkEnd w:id="84" /><w:bookmarkStart w:id="87" w:name="conclusion-5" /><w:p><w:pPr><w:pStyle w:val="Heading1" /></w:pPr><w:r><w:rPr><w:rStyle w:val="SectionNumber" /></w:rPr><w:t xml:space="preserve">7</w:t></w:r><w:r><w:tab /></w:r><w:r><w:t xml:space="preserve">Conclusion</w:t></w:r></w:p><w:bookmarkStart w:id="85" w:name="thesis-summary" /><w:p><w:pPr><w:pStyle w:val="Heading2" /></w:pPr><w:r><w:rPr><w:rStyle w:val="SectionNumber" /></w:rPr><w:t xml:space="preserve">7.1</w:t></w:r><w:r><w:tab /></w:r><w:r><w:t xml:space="preserve">Thesis summary</w:t></w:r></w:p><w:p><w:pPr><w:pStyle w:val="FirstParagraph" /></w:pPr><w:r><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w:r></w:p><w:bookmarkEnd w:id="85" /><w:bookmarkStart w:id="86" w:name="future-work" /><w:p><w:pPr><w:pStyle w:val="Heading2" /></w:pPr><w:r><w:rPr><w:rStyle w:val="SectionNumber" /></w:rPr><w:t xml:space="preserve">7.2</w:t></w:r><w:r><w:tab /></w:r><w:r><w:t xml:space="preserve">Future work</w:t></w:r></w:p><w:p><w:pPr><w:pStyle w:val="FirstParagraph" /></w:pPr><w:r><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w:r></w:p><w:p><w:pPr><w:pStyle w:val="BodyText" /></w:pPr><w:r><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w:r></w:p><w:bookmarkEnd w:id="86" /><w:bookmarkEnd w:id="87" /><w:bookmarkStart w:id="88" w:name="appendix-1-some-extra-stuff" /><w:p><w:pPr><w:pStyle w:val="Heading1" /></w:pPr><w:r><w:t xml:space="preserve">Appendix 1: Some extra stuff</w:t></w:r></w:p><w:p><w:pPr><w:pStyle w:val="FirstParagraph" /></w:pPr><w:r><w:t xml:space="preserve">Add appendix 1 here. Vivamus hendrerit rhoncus interdum. Sed ullamcorper et augue at porta. Suspendisse facilisis imperdiet urna, eu pellentesque purus suscipit in. Integer dignissim mattis ex aliquam blandit. Curabitur lobortis quam varius turpis ultrices egestas.</w:t></w:r></w:p><w:bookmarkEnd w:id="88" /><w:bookmarkStart w:id="89" w:name="appendix-2-some-more-extra-stuff" /><w:p><w:pPr><w:pStyle w:val="Heading1" /></w:pPr><w:r><w:t xml:space="preserve">Appendix 2: Some more extra stuff</w:t></w:r></w:p><w:p><w:pPr><w:pStyle w:val="FirstParagraph" /></w:pPr><w:r><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w:r></w:p><w:bookmarkEnd w:id="89" /><w:bookmarkStart w:id="95" w:name="references" /><w:p><w:pPr><w:pStyle w:val="Heading1" /></w:pPr><w:r><w:t xml:space="preserve">References</w:t></w:r></w:p><w:bookmarkStart w:id="94" w:name="refs" /><w:bookmarkStart w:id="91" w:name="ref-pollardTemplateWritingPhd2016" /><w:p><w:pPr><w:pStyle w:val="Bibliography" /></w:pPr><w:r><w:t xml:space="preserve">Pollard, T. et al., 2016.</w:t></w:r><w:r><w:t xml:space="preserve"> </w:t></w:r><w:r><w:rPr><w:iCs /><w:i /></w:rPr><w:t xml:space="preserve">Template</w:t></w:r><w:r><w:rPr><w:iCs /><w:i /></w:rPr><w:t xml:space="preserve"> </w:t></w:r><w:r><w:rPr><w:iCs /><w:i /></w:rPr><w:t xml:space="preserve">For Writing A Phd Thesis In Markdown</w:t></w:r><w:r><w:t xml:space="preserve">,</w:t></w:r><w:r><w:t xml:space="preserve"> </w:t></w:r><w:r><w:t xml:space="preserve">Zenodo</w:t></w:r><w:r><w:t xml:space="preserve">. Available at:</w:t></w:r><w:r><w:t xml:space="preserve"> </w:t></w:r><w:hyperlink r:id="rId90"><w:r><w:rPr><w:rStyle w:val="Hyperlink" /></w:rPr><w:t xml:space="preserve">https://zenodo.org/record/58490</w:t></w:r></w:hyperlink><w:r><w:t xml:space="preserve"> </w:t></w:r><w:r><w:t xml:space="preserve">[Accessed July 17, 2022].</w:t></w:r></w:p><w:bookmarkEnd w:id="91" /><w:bookmarkStart w:id="93" w:name="X046f2fb9f5b56f0967651617cd39dbb728bdb00" /><w:p><w:pPr><w:pStyle w:val="Bibliography" /></w:pPr><w:r><w:t xml:space="preserve">Salmerón, M.F. &amp; Seira, C.C., Riforma del procedimento amministrativo in</w:t></w:r><w:r><w:t xml:space="preserve"> </w:t></w:r><w:r><w:t xml:space="preserve">Spagna</w:t></w:r><w:r><w:t xml:space="preserve">: La</w:t></w:r><w:r><w:t xml:space="preserve"> </w:t></w:r><w:r><w:t xml:space="preserve">Legge</w:t></w:r><w:r><w:t xml:space="preserve"> </w:t></w:r><w:r><w:t xml:space="preserve">4/1999, del 13 gennaio, di modifica della</w:t></w:r><w:r><w:t xml:space="preserve"> </w:t></w:r><w:r><w:t xml:space="preserve">Legge</w:t></w:r><w:r><w:t xml:space="preserve"> </w:t></w:r><w:r><w:t xml:space="preserve">30/1992, del 26 novembre, de</w:t></w:r><w:r><w:t xml:space="preserve"> </w:t></w:r><w:r><w:t xml:space="preserve">Régimen Jurídico</w:t></w:r><w:r><w:t xml:space="preserve"> </w:t></w:r><w:r><w:t xml:space="preserve">de las</w:t></w:r><w:r><w:t xml:space="preserve"> </w:t></w:r><w:r><w:t xml:space="preserve">Administraciones Públicas</w:t></w:r><w:r><w:t xml:space="preserve"> </w:t></w:r><w:r><w:t xml:space="preserve">y del</w:t></w:r><w:r><w:t xml:space="preserve"> </w:t></w:r><w:r><w:t xml:space="preserve">Procedimiento Administrativo Común</w:t></w:r><w:r><w:t xml:space="preserve">. Available at:</w:t></w:r><w:r><w:t xml:space="preserve"> </w:t></w:r><w:hyperlink r:id="rId92"><w:r><w:rPr><w:rStyle w:val="Hyperlink" /></w:rPr><w:t xml:space="preserve">https://digilander.libero.it/bhilex/studi/artprammsez_I_II1.htm?utm_source=pocket_mylist</w:t></w:r></w:hyperlink><w:r><w:t xml:space="preserve"> </w:t></w:r><w:r><w:t xml:space="preserve">[Accessed October 8, 2022].</w:t></w:r></w:p><w:bookmarkEnd w:id="93" /><w:bookmarkEnd w:id="94" /><w:bookmarkEnd w:id="95"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Cfr. art. 113 Cost:</w:t>
      </w:r>
      <w:r>
        <w:t xml:space="preserve"> </w:t>
      </w:r>
      <w:r>
        <w:t xml:space="preserve">“</w:t>
      </w:r>
      <w:r>
        <w:t xml:space="preserve">Contro gli atti della pubblica amministrazione è sempre ammessa la tutela giurisdizionale dei diritti e degli interessi legittimi dinanzi agli organi di giurisdizione ordinaria e amministrativa</w:t>
      </w:r>
      <w:r>
        <w:t xml:space="preserve">”</w:t>
      </w:r>
      <w:r>
        <w:t xml:space="preserve">.</w:t>
      </w:r>
    </w:p>
  </w:footnote>
  <w:footnote w:id="24">
    <w:p>
      <w:pPr>
        <w:pStyle w:val="FootnoteText"/>
      </w:pPr>
      <w:r>
        <w:rPr>
          <w:rStyle w:val="FootnoteReference"/>
        </w:rPr>
        <w:footnoteRef/>
      </w:r>
      <w:r>
        <w:t xml:space="preserve"> </w:t>
      </w:r>
      <w:r>
        <w:t xml:space="preserve">Cfr. L. 2248 del 1865, art. 4, c. 2:</w:t>
      </w:r>
      <w:r>
        <w:t xml:space="preserve"> </w:t>
      </w:r>
      <w:r>
        <w:t xml:space="preserve">“</w:t>
      </w:r>
      <w:r>
        <w:t xml:space="preserve">L’atto amministrativo non potrà essere rivocato o modificato se non sovra ricorso alle competenti Autorità amministrative, le quali si conformeranno al giudicato dei Tribunali in quanto riguarda il caso deciso</w:t>
      </w:r>
      <w:r>
        <w:t xml:space="preserve">”</w:t>
      </w:r>
      <w:r>
        <w:t xml:space="preserve">.</w:t>
      </w:r>
    </w:p>
  </w:footnote>
  <w:footnote w:id="25">
    <w:p>
      <w:pPr>
        <w:pStyle w:val="FootnoteText"/>
      </w:pPr>
      <w:r>
        <w:rPr>
          <w:rStyle w:val="FootnoteReference"/>
        </w:rPr>
        <w:footnoteRef/>
      </w:r>
      <w:r>
        <w:t xml:space="preserve"> </w:t>
      </w:r>
      <w:r>
        <w:t xml:space="preserve">Art. 114, c. 1, c.p.a.</w:t>
      </w:r>
    </w:p>
  </w:footnote>
  <w:footnote w:id="26">
    <w:p>
      <w:pPr>
        <w:pStyle w:val="FootnoteText"/>
      </w:pPr>
      <w:r>
        <w:rPr>
          <w:rStyle w:val="FootnoteReference"/>
        </w:rPr>
        <w:footnoteRef/>
      </w:r>
      <w:r>
        <w:t xml:space="preserve"> </w:t>
      </w:r>
      <w:r>
        <w:t xml:space="preserve">Art. 114, c. 2, c.p.a.</w:t>
      </w:r>
    </w:p>
  </w:footnote>
  <w:footnote w:id="27">
    <w:p>
      <w:pPr>
        <w:pStyle w:val="FootnoteText"/>
      </w:pPr>
      <w:r>
        <w:rPr>
          <w:rStyle w:val="FootnoteReference"/>
        </w:rPr>
        <w:footnoteRef/>
      </w:r>
      <w:r>
        <w:t xml:space="preserve"> </w:t>
      </w:r>
      <w:r>
        <w:t xml:space="preserve">Art. 113 c.p.a.</w:t>
      </w:r>
    </w:p>
  </w:footnote>
  <w:footnote w:id="28">
    <w:p>
      <w:pPr>
        <w:pStyle w:val="FootnoteText"/>
      </w:pPr>
      <w:r>
        <w:rPr>
          <w:rStyle w:val="FootnoteReference"/>
        </w:rPr>
        <w:footnoteRef/>
      </w:r>
      <w:r>
        <w:t xml:space="preserve"> </w:t>
      </w:r>
      <w:r>
        <w:t xml:space="preserve">Cfr. Cons. Stato, sez. IV, 9 ottobre 2002, n. 5352.</w:t>
      </w:r>
    </w:p>
  </w:footnote>
  <w:footnote w:id="29">
    <w:p>
      <w:pPr>
        <w:pStyle w:val="FootnoteText"/>
      </w:pPr>
      <w:r>
        <w:rPr>
          <w:rStyle w:val="FootnoteReference"/>
        </w:rPr>
        <w:footnoteRef/>
      </w:r>
      <w:r>
        <w:t xml:space="preserve"> </w:t>
      </w:r>
      <w:r>
        <w:t xml:space="preserve">Art. 114, c. 4, lett. c.</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2" Target="media/rId62.jpg" /><Relationship Type="http://schemas.openxmlformats.org/officeDocument/2006/relationships/hyperlink" Id="rId92" Target="https://digilander.libero.it/bhilex/studi/artprammsez_I_II1.htm?utm_source=pocket_mylist" TargetMode="External" /><Relationship Type="http://schemas.openxmlformats.org/officeDocument/2006/relationships/hyperlink" Id="rId36" Target="https://github.com/tompollard/phd_thesis_markdown/blob/master/README.md" TargetMode="External" /><Relationship Type="http://schemas.openxmlformats.org/officeDocument/2006/relationships/hyperlink" Id="rId90" Target="https://zenodo.org/record/58490" TargetMode="External" /></Relationships>
</file>

<file path=word/_rels/footnotes.xml.rels><?xml version="1.0" encoding="UTF-8"?><Relationships xmlns="http://schemas.openxmlformats.org/package/2006/relationships"><Relationship Type="http://schemas.openxmlformats.org/officeDocument/2006/relationships/hyperlink" Id="rId92" Target="https://digilander.libero.it/bhilex/studi/artprammsez_I_II1.htm?utm_source=pocket_mylist" TargetMode="External" /><Relationship Type="http://schemas.openxmlformats.org/officeDocument/2006/relationships/hyperlink" Id="rId36" Target="https://github.com/tompollard/phd_thesis_markdown/blob/master/README.md" TargetMode="External" /><Relationship Type="http://schemas.openxmlformats.org/officeDocument/2006/relationships/hyperlink" Id="rId90" Target="https://zenodo.org/record/584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2022-10-09T10:42:03Z</dcterms:created>
  <dcterms:modified xsi:type="dcterms:W3CDTF">2022-10-09T10:42:03Z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/home/mari/Dropbox/Study/Tesi/mc-thesis/source/references.bib</vt:lpwstr>
  </property>
  <property fmtid="{D5CDD505-2E9C-101B-9397-08002B2CF9AE}" pid="3" name="csl">
    <vt:lpwstr>/home/mari/Dropbox/Study/Tesi/mc-thesis/style/ref_format.csl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